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sz w:val="28"/>
          <w:szCs w:val="28"/>
          <w:lang w:val="en-US" w:eastAsia="zh-CN"/>
        </w:rPr>
      </w:pPr>
      <w:r>
        <w:rPr>
          <w:rFonts w:hint="eastAsia" w:ascii="仿宋" w:hAnsi="仿宋" w:eastAsia="仿宋"/>
          <w:sz w:val="28"/>
          <w:szCs w:val="28"/>
          <w:lang w:val="en-US" w:eastAsia="zh-CN"/>
        </w:rPr>
        <w:t>附件：</w:t>
      </w:r>
    </w:p>
    <w:p>
      <w:pPr>
        <w:jc w:val="center"/>
      </w:pPr>
      <w:r>
        <w:rPr>
          <w:rFonts w:hint="eastAsia" w:ascii="仿宋" w:hAnsi="仿宋" w:eastAsia="仿宋"/>
          <w:sz w:val="28"/>
          <w:szCs w:val="28"/>
          <w:lang w:val="en-US" w:eastAsia="zh-CN"/>
        </w:rPr>
        <w:t>2017年教育教学改革立项项目名单</w:t>
      </w:r>
    </w:p>
    <w:tbl>
      <w:tblPr>
        <w:tblStyle w:val="3"/>
        <w:tblW w:w="821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53"/>
        <w:gridCol w:w="3555"/>
        <w:gridCol w:w="1620"/>
        <w:gridCol w:w="2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序号</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项目名称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项目负责人</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所在单位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“六年制”实验班课程改革的研究与实践</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程滔</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4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精品著作导读与跨学科研究能力培养——</w:t>
            </w:r>
            <w:r>
              <w:rPr>
                <w:rFonts w:hint="eastAsia" w:ascii="仿宋" w:hAnsi="仿宋" w:eastAsia="仿宋"/>
                <w:sz w:val="24"/>
                <w:szCs w:val="24"/>
                <w:lang w:val="en-US" w:eastAsia="zh-CN"/>
              </w:rPr>
              <w:br w:type="textWrapping"/>
            </w:r>
            <w:r>
              <w:rPr>
                <w:rFonts w:hint="eastAsia" w:ascii="仿宋" w:hAnsi="仿宋" w:eastAsia="仿宋"/>
                <w:sz w:val="24"/>
                <w:szCs w:val="24"/>
                <w:lang w:val="en-US" w:eastAsia="zh-CN"/>
              </w:rPr>
              <w:t>基于《&lt;万历十五年&gt;导读》课程的教学探索</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滕乐</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新闻学院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《网络经济学》教学内容、课程体系、实施途径及改革方案</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张弛</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通过对老年问题课程的学习来提升社会工作专业学生的实务技能</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张莉</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社会学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中国政法大学国学类课程体系建设研究——以北京地区高校课程建设的调查研究为基础</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孙国柱</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人文学院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侦查学专业（网络犯罪侦查方向）课程体系与教学方法的改革研究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肖承海</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刑事司法学院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“学术英语”教学中学生人文素质的培养探究</w:t>
            </w:r>
            <w:r>
              <w:rPr>
                <w:rFonts w:hint="eastAsia" w:ascii="仿宋" w:hAnsi="仿宋" w:eastAsia="仿宋"/>
                <w:sz w:val="24"/>
                <w:szCs w:val="24"/>
                <w:lang w:val="en-US" w:eastAsia="zh-CN"/>
              </w:rPr>
              <w:br w:type="textWrapping"/>
            </w:r>
            <w:r>
              <w:rPr>
                <w:rFonts w:hint="eastAsia" w:ascii="仿宋" w:hAnsi="仿宋" w:eastAsia="仿宋"/>
                <w:sz w:val="24"/>
                <w:szCs w:val="24"/>
                <w:lang w:val="en-US" w:eastAsia="zh-CN"/>
              </w:rPr>
              <w:t>——以英文经典小说阅读为例</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孙蕾</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本科翻译专业计算机辅助翻译课程建设</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付瑶</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《戏剧研究与实践》实验教学模式研究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李忠实</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人文学院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5"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新媒体技术下新闻实践课程建设研究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郑满宁</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新闻学院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涉外法律人才实践技能的培养——国际模拟法庭竞赛</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兰花</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国际法学院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乒乓球教学内容创新与大学生运动等级标准的实施</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彭博</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体育教学部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13</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提升大一新生《英语写作》课堂教学效率:英语专业课堂教学方法改革的研究与实践</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张洪芹</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14</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大学生创新创业教育案例教学研究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吴新辉</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政管学院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15</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涉外法学实验班学术英语写作课程的开发研究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刘艳</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16</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“经济犯罪侦查”课程内容与体系改革研究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刘燕</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刑事司法学院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17</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政法院校学生创业指导与服务研究—以中国政法大学为例</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解廷民</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学生处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18</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习总书记考察我校时的讲话精神进《基础》课堂研究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赵庆杰</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马克思主义学</w:t>
            </w:r>
            <w:bookmarkStart w:id="0" w:name="_GoBack"/>
            <w:bookmarkEnd w:id="0"/>
            <w:r>
              <w:rPr>
                <w:rFonts w:hint="eastAsia" w:ascii="仿宋" w:hAnsi="仿宋" w:eastAsia="仿宋"/>
                <w:sz w:val="24"/>
                <w:szCs w:val="24"/>
                <w:lang w:val="en-US" w:eastAsia="zh-CN"/>
              </w:rPr>
              <w:t>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19</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让研讨课更有效地促进智慧生长----基于智慧教室的教学模式研究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葛建华</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20</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我校室外体育课受不良天气影响合理安排研究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张士忠</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体育教学部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21</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基于社会网络分析的新疆大学生跨文化适应与教学组织模式改革研究</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刘双庆</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新闻学院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exact"/>
        </w:trPr>
        <w:tc>
          <w:tcPr>
            <w:tcW w:w="8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22</w:t>
            </w:r>
          </w:p>
        </w:tc>
        <w:tc>
          <w:tcPr>
            <w:tcW w:w="35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法学专业本科生学术研究能力培养的探索</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赵言荣</w:t>
            </w:r>
          </w:p>
        </w:tc>
        <w:tc>
          <w:tcPr>
            <w:tcW w:w="21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sz w:val="24"/>
                <w:szCs w:val="24"/>
                <w:lang w:val="en-US" w:eastAsia="zh-CN"/>
              </w:rPr>
            </w:pPr>
            <w:r>
              <w:rPr>
                <w:rFonts w:hint="eastAsia" w:ascii="仿宋" w:hAnsi="仿宋" w:eastAsia="仿宋"/>
                <w:sz w:val="24"/>
                <w:szCs w:val="24"/>
                <w:lang w:val="en-US" w:eastAsia="zh-CN"/>
              </w:rPr>
              <w:t>民商经济法学院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D5C55"/>
    <w:rsid w:val="02FA274B"/>
    <w:rsid w:val="386D5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01"/>
    <w:basedOn w:val="2"/>
    <w:qFormat/>
    <w:uiPriority w:val="0"/>
    <w:rPr>
      <w:rFonts w:hint="eastAsia" w:ascii="宋体" w:hAnsi="宋体" w:eastAsia="宋体" w:cs="宋体"/>
      <w:b/>
      <w:color w:val="000000"/>
      <w:sz w:val="28"/>
      <w:szCs w:val="28"/>
      <w:u w:val="none"/>
    </w:rPr>
  </w:style>
  <w:style w:type="character" w:customStyle="1" w:styleId="5">
    <w:name w:val="font21"/>
    <w:basedOn w:val="2"/>
    <w:qFormat/>
    <w:uiPriority w:val="0"/>
    <w:rPr>
      <w:rFonts w:hint="eastAsia" w:ascii="宋体" w:hAnsi="宋体" w:eastAsia="宋体" w:cs="宋体"/>
      <w:b/>
      <w:color w:val="000000"/>
      <w:sz w:val="28"/>
      <w:szCs w:val="2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2017-07-06T03:33:00Z</dcterms:created>
  <dc:creator>Administrator</dc:creator>
  <cp:lastModifiedBy>Administrator</cp:lastModifiedBy>
  <dcterms:modified xsi:type="dcterms:W3CDTF">2017-07-06T07:03:43Z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