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2169_WPSOffice_Type1" w:displacedByCustomXml="next"/>
    <w:sdt>
      <w:sdtPr>
        <w:rPr>
          <w:rFonts w:ascii="宋体" w:eastAsia="宋体" w:hAnsi="宋体" w:cs="Times New Roman"/>
          <w:color w:val="auto"/>
          <w:sz w:val="21"/>
          <w:szCs w:val="20"/>
          <w:lang w:val="en-US"/>
        </w:rPr>
        <w:id w:val="1788237659"/>
        <w15:color w:val="DBDBDB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39508B" w:rsidRPr="00073126" w:rsidRDefault="00153F46">
          <w:pPr>
            <w:spacing w:before="0" w:after="0" w:line="240" w:lineRule="auto"/>
            <w:ind w:firstLineChars="0" w:firstLine="0"/>
            <w:jc w:val="center"/>
            <w:rPr>
              <w:sz w:val="48"/>
            </w:rPr>
          </w:pPr>
          <w:r w:rsidRPr="00073126">
            <w:rPr>
              <w:rFonts w:ascii="宋体" w:eastAsia="宋体" w:hAnsi="宋体"/>
              <w:sz w:val="44"/>
            </w:rPr>
            <w:t>目录</w:t>
          </w:r>
        </w:p>
        <w:p w:rsidR="0039508B" w:rsidRDefault="00C87BC3">
          <w:pPr>
            <w:pStyle w:val="WPSOffice1"/>
            <w:tabs>
              <w:tab w:val="right" w:leader="dot" w:pos="8306"/>
            </w:tabs>
          </w:pPr>
          <w:hyperlink w:anchor="_Toc27294_WPSOffice_Level1" w:history="1">
            <w:sdt>
              <w:sdtPr>
                <w:rPr>
                  <w:rFonts w:ascii="Microsoft YaHei UI" w:eastAsia="Microsoft YaHei UI" w:hAnsi="Microsoft YaHei UI" w:cstheme="minorBidi"/>
                  <w:color w:val="595959"/>
                  <w:sz w:val="22"/>
                  <w:szCs w:val="22"/>
                  <w:lang w:val="zh-CN"/>
                </w:rPr>
                <w:id w:val="147479792"/>
                <w:placeholder>
                  <w:docPart w:val="{197f3174-8e11-4bf9-8428-e04deef1f605}"/>
                </w:placeholder>
                <w15:color w:val="509DF3"/>
              </w:sdtPr>
              <w:sdtEndPr/>
              <w:sdtContent>
                <w:r w:rsidR="00153F46">
                  <w:rPr>
                    <w:rFonts w:ascii="Microsoft YaHei UI" w:eastAsia="Microsoft YaHei UI" w:hAnsi="Microsoft YaHei UI" w:cstheme="minorBidi" w:hint="eastAsia"/>
                  </w:rPr>
                  <w:t>辅修/双专业双学位管理操作说明</w:t>
                </w:r>
              </w:sdtContent>
            </w:sdt>
            <w:r w:rsidR="00153F46">
              <w:tab/>
            </w:r>
            <w:bookmarkStart w:id="1" w:name="_Toc27294_WPSOffice_Level1Page"/>
            <w:r w:rsidR="00153F46">
              <w:t>2</w:t>
            </w:r>
            <w:bookmarkEnd w:id="1"/>
          </w:hyperlink>
        </w:p>
        <w:p w:rsidR="0039508B" w:rsidRDefault="00153F46">
          <w:pPr>
            <w:pStyle w:val="WPSOffice1"/>
            <w:tabs>
              <w:tab w:val="right" w:leader="dot" w:pos="8306"/>
            </w:tabs>
          </w:pPr>
          <w:hyperlink w:anchor="_Toc32169_WPSOffice_Level1" w:history="1">
            <w:sdt>
              <w:sdtPr>
                <w:rPr>
                  <w:rFonts w:ascii="Microsoft YaHei UI" w:eastAsia="Microsoft YaHei UI" w:hAnsi="Microsoft YaHei UI" w:cstheme="minorBidi"/>
                  <w:color w:val="595959"/>
                  <w:sz w:val="22"/>
                  <w:szCs w:val="22"/>
                  <w:lang w:val="zh-CN"/>
                </w:rPr>
                <w:id w:val="1705435537"/>
                <w:placeholder>
                  <w:docPart w:val="{3fa264f8-922b-41f9-9a36-6e82423eec6d}"/>
                </w:placeholder>
                <w15:color w:val="509DF3"/>
              </w:sdtPr>
              <w:sdtEndPr/>
              <w:sdtContent>
                <w:r>
                  <w:rPr>
                    <w:rFonts w:ascii="Microsoft YaHei UI" w:eastAsia="Microsoft YaHei UI" w:hAnsi="Microsoft YaHei UI"/>
                  </w:rPr>
                  <w:t xml:space="preserve">1.1. </w:t>
                </w:r>
                <w:r>
                  <w:rPr>
                    <w:rFonts w:ascii="Microsoft YaHei UI" w:eastAsia="Microsoft YaHei UI" w:hAnsi="Microsoft YaHei UI" w:hint="eastAsia"/>
                  </w:rPr>
                  <w:t>辅修注销</w:t>
                </w:r>
              </w:sdtContent>
            </w:sdt>
            <w:r>
              <w:tab/>
            </w:r>
            <w:bookmarkStart w:id="2" w:name="_Toc32169_WPSOffice_Level1Page"/>
            <w:r>
              <w:t>2</w:t>
            </w:r>
            <w:bookmarkEnd w:id="2"/>
          </w:hyperlink>
        </w:p>
        <w:p w:rsidR="0039508B" w:rsidRDefault="00153F46">
          <w:pPr>
            <w:pStyle w:val="WPSOffice1"/>
            <w:tabs>
              <w:tab w:val="right" w:leader="dot" w:pos="8306"/>
            </w:tabs>
          </w:pPr>
          <w:hyperlink w:anchor="_Toc8635_WPSOffice_Level1" w:history="1">
            <w:sdt>
              <w:sdtPr>
                <w:rPr>
                  <w:rFonts w:ascii="Microsoft YaHei UI" w:eastAsia="Microsoft YaHei UI" w:hAnsi="Microsoft YaHei UI" w:cstheme="minorBidi"/>
                  <w:color w:val="595959"/>
                  <w:sz w:val="22"/>
                  <w:szCs w:val="22"/>
                  <w:lang w:val="zh-CN"/>
                </w:rPr>
                <w:id w:val="-781421531"/>
                <w:placeholder>
                  <w:docPart w:val="{295601ae-1bf0-417f-88cb-8db29e68d52e}"/>
                </w:placeholder>
                <w15:color w:val="509DF3"/>
              </w:sdtPr>
              <w:sdtEndPr/>
              <w:sdtContent>
                <w:r>
                  <w:rPr>
                    <w:rFonts w:ascii="Microsoft YaHei UI" w:eastAsia="Microsoft YaHei UI" w:hAnsi="Microsoft YaHei UI"/>
                  </w:rPr>
                  <w:t xml:space="preserve">1.2. </w:t>
                </w:r>
                <w:r w:rsidR="009A6D80">
                  <w:rPr>
                    <w:rFonts w:ascii="Microsoft YaHei UI" w:eastAsia="Microsoft YaHei UI" w:hAnsi="Microsoft YaHei UI" w:hint="eastAsia"/>
                  </w:rPr>
                  <w:t>双专业双学位</w:t>
                </w:r>
                <w:r>
                  <w:rPr>
                    <w:rFonts w:ascii="Microsoft YaHei UI" w:eastAsia="Microsoft YaHei UI" w:hAnsi="Microsoft YaHei UI" w:hint="eastAsia"/>
                  </w:rPr>
                  <w:t>注销或者转辅修</w:t>
                </w:r>
              </w:sdtContent>
            </w:sdt>
            <w:r>
              <w:tab/>
            </w:r>
            <w:bookmarkStart w:id="3" w:name="_Toc8635_WPSOffice_Level1Page"/>
            <w:r>
              <w:t>5</w:t>
            </w:r>
            <w:bookmarkEnd w:id="3"/>
          </w:hyperlink>
        </w:p>
        <w:p w:rsidR="0039508B" w:rsidRDefault="00153F46">
          <w:pPr>
            <w:pStyle w:val="WPSOffice1"/>
            <w:tabs>
              <w:tab w:val="right" w:leader="dot" w:pos="8306"/>
            </w:tabs>
          </w:pPr>
          <w:hyperlink w:anchor="_Toc8022_WPSOffice_Level1" w:history="1">
            <w:sdt>
              <w:sdtPr>
                <w:rPr>
                  <w:rFonts w:ascii="Microsoft YaHei UI" w:eastAsia="Microsoft YaHei UI" w:hAnsi="Microsoft YaHei UI" w:cstheme="minorBidi"/>
                  <w:color w:val="595959"/>
                  <w:sz w:val="22"/>
                  <w:szCs w:val="22"/>
                  <w:lang w:val="zh-CN"/>
                </w:rPr>
                <w:id w:val="-123464064"/>
                <w:placeholder>
                  <w:docPart w:val="{68401617-e2e3-45d7-b2ec-47a255de59f2}"/>
                </w:placeholder>
                <w15:color w:val="509DF3"/>
              </w:sdtPr>
              <w:sdtEndPr/>
              <w:sdtContent>
                <w:r>
                  <w:rPr>
                    <w:rFonts w:ascii="Microsoft YaHei UI" w:eastAsia="Microsoft YaHei UI" w:hAnsi="Microsoft YaHei UI"/>
                  </w:rPr>
                  <w:t xml:space="preserve">1.3. </w:t>
                </w:r>
                <w:r>
                  <w:rPr>
                    <w:rFonts w:ascii="Microsoft YaHei UI" w:eastAsia="Microsoft YaHei UI" w:hAnsi="Microsoft YaHei UI" w:hint="eastAsia"/>
                  </w:rPr>
                  <w:t>辅修&amp;</w:t>
                </w:r>
                <w:r w:rsidR="009A6D80">
                  <w:rPr>
                    <w:rFonts w:ascii="Microsoft YaHei UI" w:eastAsia="Microsoft YaHei UI" w:hAnsi="Microsoft YaHei UI" w:hint="eastAsia"/>
                  </w:rPr>
                  <w:t>双专业双学位</w:t>
                </w:r>
                <w:bookmarkStart w:id="4" w:name="_GoBack"/>
                <w:bookmarkEnd w:id="4"/>
                <w:r>
                  <w:rPr>
                    <w:rFonts w:ascii="Microsoft YaHei UI" w:eastAsia="Microsoft YaHei UI" w:hAnsi="Microsoft YaHei UI" w:hint="eastAsia"/>
                  </w:rPr>
                  <w:t>报名</w:t>
                </w:r>
              </w:sdtContent>
            </w:sdt>
            <w:r>
              <w:tab/>
            </w:r>
            <w:bookmarkStart w:id="5" w:name="_Toc8022_WPSOffice_Level1Page"/>
            <w:r>
              <w:t>8</w:t>
            </w:r>
            <w:bookmarkEnd w:id="5"/>
          </w:hyperlink>
        </w:p>
        <w:bookmarkEnd w:id="0" w:displacedByCustomXml="next"/>
      </w:sdtContent>
    </w:sdt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153F46">
      <w:pPr>
        <w:ind w:firstLineChars="0" w:firstLine="0"/>
        <w:jc w:val="both"/>
        <w:rPr>
          <w:b/>
          <w:bCs/>
          <w:color w:val="2E74B5" w:themeColor="accent1" w:themeShade="BF"/>
          <w:sz w:val="52"/>
          <w:szCs w:val="52"/>
          <w:lang w:val="en-US"/>
        </w:rPr>
      </w:pPr>
      <w:bookmarkStart w:id="6" w:name="_Toc27294_WPSOffice_Level1"/>
      <w:r>
        <w:rPr>
          <w:rFonts w:hint="eastAsia"/>
          <w:b/>
          <w:bCs/>
          <w:color w:val="2E74B5" w:themeColor="accent1" w:themeShade="BF"/>
          <w:sz w:val="52"/>
          <w:szCs w:val="52"/>
          <w:lang w:val="en-US"/>
        </w:rPr>
        <w:lastRenderedPageBreak/>
        <w:t>辅修/双专业双学位管理操作说明</w:t>
      </w:r>
      <w:bookmarkEnd w:id="6"/>
    </w:p>
    <w:p w:rsidR="0039508B" w:rsidRDefault="00153F46">
      <w:pPr>
        <w:pStyle w:val="2"/>
      </w:pPr>
      <w:bookmarkStart w:id="7" w:name="_Toc32169_WPSOffice_Level1"/>
      <w:r>
        <w:rPr>
          <w:rFonts w:hint="eastAsia"/>
        </w:rPr>
        <w:t>辅修注销</w:t>
      </w:r>
      <w:bookmarkEnd w:id="7"/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第一步：</w:t>
      </w:r>
      <w:r>
        <w:rPr>
          <w:rFonts w:hint="eastAsia"/>
          <w:lang w:val="en-US"/>
        </w:rPr>
        <w:t xml:space="preserve">在注销时间开启后，进入菜单：我的学籍 &gt; </w:t>
      </w:r>
      <w:r>
        <w:rPr>
          <w:rFonts w:ascii="宋体" w:eastAsia="宋体" w:hAnsi="宋体" w:cs="宋体"/>
          <w:sz w:val="24"/>
          <w:szCs w:val="24"/>
        </w:rPr>
        <w:t>辅修/双专业双学位管理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9865" cy="2256155"/>
            <wp:effectExtent l="0" t="0" r="69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点击中间的“</w:t>
      </w:r>
      <w:r>
        <w:rPr>
          <w:rFonts w:ascii="宋体" w:eastAsia="宋体" w:hAnsi="宋体" w:cs="宋体"/>
          <w:sz w:val="24"/>
          <w:szCs w:val="24"/>
        </w:rPr>
        <w:t>辅修/双专业双学位</w:t>
      </w:r>
      <w:r>
        <w:rPr>
          <w:rFonts w:ascii="宋体" w:eastAsia="宋体" w:hAnsi="宋体" w:cs="宋体" w:hint="eastAsia"/>
          <w:sz w:val="24"/>
          <w:szCs w:val="24"/>
          <w:lang w:val="en-US"/>
        </w:rPr>
        <w:t>注销</w:t>
      </w:r>
      <w:r>
        <w:rPr>
          <w:rFonts w:hint="eastAsia"/>
          <w:lang w:val="en-US"/>
        </w:rPr>
        <w:t>” 选项卡，页面上方显示本次注销的开放时间，下方显示已经修读的辅修培养方案。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169608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若不在开放时间范围内显示：“</w:t>
      </w:r>
      <w:r>
        <w:rPr>
          <w:rFonts w:ascii="宋体" w:eastAsia="宋体" w:hAnsi="宋体" w:cs="宋体"/>
          <w:sz w:val="24"/>
          <w:szCs w:val="24"/>
        </w:rPr>
        <w:t>注销辅修未开放！</w:t>
      </w:r>
      <w:r>
        <w:rPr>
          <w:rFonts w:hint="eastAsia"/>
          <w:lang w:val="en-US"/>
        </w:rPr>
        <w:t>”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1109345"/>
            <wp:effectExtent l="0" t="0" r="317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第二步：</w:t>
      </w:r>
      <w:r>
        <w:rPr>
          <w:rFonts w:hint="eastAsia"/>
          <w:lang w:val="en-US"/>
        </w:rPr>
        <w:t>点击已修读方案后的“注销”按钮</w:t>
      </w:r>
    </w:p>
    <w:p w:rsidR="0039508B" w:rsidRDefault="00153F4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1430655"/>
            <wp:effectExtent l="0" t="0" r="1397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在弹出的页面选择要删除的已选课程或者课程成绩点击“提交”，点击“取消”可返回上一步操作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536700"/>
            <wp:effectExtent l="0" t="0" r="508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弹出的确认框点击“确定”即可，点击“取消”返回上一步操作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932305"/>
            <wp:effectExtent l="0" t="0" r="571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可看到注销申请的审核状态变为：“已提交”，下方显示的是要删除的课程或者课程成绩。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9230" cy="1588770"/>
            <wp:effectExtent l="0" t="0" r="762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39508B">
      <w:pPr>
        <w:ind w:firstLineChars="0" w:firstLine="0"/>
        <w:rPr>
          <w:lang w:val="en-US"/>
        </w:rPr>
      </w:pP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第三步：</w:t>
      </w:r>
      <w:r>
        <w:rPr>
          <w:rFonts w:hint="eastAsia"/>
          <w:lang w:val="en-US"/>
        </w:rPr>
        <w:t>若管理员还未审核注销申请，可点击注销记录中的“取消申请”按钮，进行取消注销的操作。取消后已选择删除的课程恢复</w:t>
      </w:r>
      <w:proofErr w:type="gramStart"/>
      <w:r>
        <w:rPr>
          <w:rFonts w:hint="eastAsia"/>
          <w:lang w:val="en-US"/>
        </w:rPr>
        <w:t>成申请</w:t>
      </w:r>
      <w:proofErr w:type="gramEnd"/>
      <w:r>
        <w:rPr>
          <w:rFonts w:hint="eastAsia"/>
          <w:lang w:val="en-US"/>
        </w:rPr>
        <w:t>前状态，可再次进行注销操作。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4150" cy="1652270"/>
            <wp:effectExtent l="0" t="0" r="1270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管理员审核后，审核状态变为“审核通过”，辅修方案注销成功，此时不可以再取消申请。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448435"/>
            <wp:effectExtent l="0" t="0" r="508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若管理员审核不通过，可再次进行注销操作。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2880" cy="1805940"/>
            <wp:effectExtent l="0" t="0" r="1397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39508B">
      <w:pPr>
        <w:ind w:firstLine="1040"/>
        <w:jc w:val="center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39508B">
      <w:pPr>
        <w:ind w:firstLine="1040"/>
        <w:jc w:val="center"/>
        <w:rPr>
          <w:b/>
          <w:bCs/>
          <w:color w:val="2E74B5" w:themeColor="accent1" w:themeShade="BF"/>
          <w:sz w:val="52"/>
          <w:szCs w:val="52"/>
          <w:lang w:val="en-US"/>
        </w:rPr>
      </w:pPr>
    </w:p>
    <w:p w:rsidR="0039508B" w:rsidRDefault="00153F46">
      <w:pPr>
        <w:pStyle w:val="2"/>
      </w:pPr>
      <w:bookmarkStart w:id="8" w:name="_Toc8635_WPSOffice_Level1"/>
      <w:r>
        <w:rPr>
          <w:rFonts w:hint="eastAsia"/>
        </w:rPr>
        <w:t>4+1注销或者转辅修</w:t>
      </w:r>
      <w:bookmarkEnd w:id="8"/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第一步：</w:t>
      </w:r>
      <w:r>
        <w:rPr>
          <w:rFonts w:hint="eastAsia"/>
          <w:lang w:val="en-US"/>
        </w:rPr>
        <w:t xml:space="preserve">在注销时间开启后，进入菜单：我的学籍 &gt; </w:t>
      </w:r>
      <w:r>
        <w:rPr>
          <w:rFonts w:ascii="宋体" w:eastAsia="宋体" w:hAnsi="宋体" w:cs="宋体"/>
          <w:sz w:val="24"/>
          <w:szCs w:val="24"/>
        </w:rPr>
        <w:t>辅修/双专业双学位管理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9865" cy="2256155"/>
            <wp:effectExtent l="0" t="0" r="69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点击中间的“</w:t>
      </w:r>
      <w:r>
        <w:rPr>
          <w:rFonts w:ascii="宋体" w:eastAsia="宋体" w:hAnsi="宋体" w:cs="宋体"/>
          <w:sz w:val="24"/>
          <w:szCs w:val="24"/>
        </w:rPr>
        <w:t>辅修/双专业双学位</w:t>
      </w:r>
      <w:r>
        <w:rPr>
          <w:rFonts w:ascii="宋体" w:eastAsia="宋体" w:hAnsi="宋体" w:cs="宋体" w:hint="eastAsia"/>
          <w:sz w:val="24"/>
          <w:szCs w:val="24"/>
          <w:lang w:val="en-US"/>
        </w:rPr>
        <w:t>注销</w:t>
      </w:r>
      <w:r>
        <w:rPr>
          <w:rFonts w:hint="eastAsia"/>
          <w:lang w:val="en-US"/>
        </w:rPr>
        <w:t>” 选项卡，页面上方显示本次注销的开放时间，下方显示已经修读的辅修培养方案。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554480"/>
            <wp:effectExtent l="0" t="0" r="952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若不在开放时间范围内显示：“</w:t>
      </w:r>
      <w:r>
        <w:rPr>
          <w:rFonts w:ascii="宋体" w:eastAsia="宋体" w:hAnsi="宋体" w:cs="宋体"/>
          <w:sz w:val="24"/>
          <w:szCs w:val="24"/>
        </w:rPr>
        <w:t>注销辅修未开放！</w:t>
      </w:r>
      <w:r>
        <w:rPr>
          <w:rFonts w:hint="eastAsia"/>
          <w:lang w:val="en-US"/>
        </w:rPr>
        <w:t>”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110934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第二步：</w:t>
      </w:r>
      <w:r>
        <w:rPr>
          <w:rFonts w:hint="eastAsia"/>
          <w:lang w:val="en-US"/>
        </w:rPr>
        <w:t>点击已修读方案后的“注销”或者“转辅修”按钮</w:t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lastRenderedPageBreak/>
        <w:t>“注销”是指的直接退4+1培养方案，只保留主修方案。</w:t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“转辅修”指的是4+1方案转成普通的同专业辅修方案。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454785"/>
            <wp:effectExtent l="0" t="0" r="825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在弹出的页面选择要删除的已选课程或者课程成绩点击“提交”，点击“取消”可返回上一步操作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536700"/>
            <wp:effectExtent l="0" t="0" r="50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弹出的确认框点击“确定”即可，点击“取消”返回上一步操作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932305"/>
            <wp:effectExtent l="0" t="0" r="571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可看到注销申请的审核状态变为：“已提交”，下方显示的是要删除的课程或者课程成绩。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69230" cy="158877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39508B">
      <w:pPr>
        <w:ind w:firstLineChars="0" w:firstLine="0"/>
        <w:rPr>
          <w:lang w:val="en-US"/>
        </w:rPr>
      </w:pP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第三步：</w:t>
      </w:r>
      <w:r>
        <w:rPr>
          <w:rFonts w:hint="eastAsia"/>
          <w:lang w:val="en-US"/>
        </w:rPr>
        <w:t>若管理员还未审核注销申请，可点击注销记录中的“取消申请”按钮，进行取消注销的操作。取消后已选择删除的课程恢复</w:t>
      </w:r>
      <w:proofErr w:type="gramStart"/>
      <w:r>
        <w:rPr>
          <w:rFonts w:hint="eastAsia"/>
          <w:lang w:val="en-US"/>
        </w:rPr>
        <w:t>成申请</w:t>
      </w:r>
      <w:proofErr w:type="gramEnd"/>
      <w:r>
        <w:rPr>
          <w:rFonts w:hint="eastAsia"/>
          <w:lang w:val="en-US"/>
        </w:rPr>
        <w:t>前状态，可再次进行注销操作。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4150" cy="165227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管理员审核后，审核状态变为“审核通过”，辅修方案注销成功，此时不可以再取消申请。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44843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若管理员审核不通过，可再次进行注销操作。</w:t>
      </w:r>
    </w:p>
    <w:p w:rsidR="0039508B" w:rsidRDefault="00153F4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1805940"/>
            <wp:effectExtent l="0" t="0" r="139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pStyle w:val="2"/>
      </w:pPr>
      <w:bookmarkStart w:id="9" w:name="_Toc8022_WPSOffice_Level1"/>
      <w:r>
        <w:rPr>
          <w:rFonts w:hint="eastAsia"/>
        </w:rPr>
        <w:t>辅修&amp;4+1报名</w:t>
      </w:r>
      <w:bookmarkEnd w:id="9"/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第一步：</w:t>
      </w:r>
      <w:r>
        <w:rPr>
          <w:rFonts w:hint="eastAsia"/>
          <w:lang w:val="en-US"/>
        </w:rPr>
        <w:t xml:space="preserve">在报名开关开启后，进入菜单：我的学籍 &gt; </w:t>
      </w:r>
      <w:r>
        <w:rPr>
          <w:rFonts w:ascii="宋体" w:eastAsia="宋体" w:hAnsi="宋体" w:cs="宋体"/>
          <w:sz w:val="24"/>
          <w:szCs w:val="24"/>
        </w:rPr>
        <w:t>辅修/双专业双学位管理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9865" cy="2256155"/>
            <wp:effectExtent l="0" t="0" r="698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点击左侧的“</w:t>
      </w:r>
      <w:r>
        <w:rPr>
          <w:rFonts w:ascii="宋体" w:eastAsia="宋体" w:hAnsi="宋体" w:cs="宋体"/>
          <w:sz w:val="24"/>
          <w:szCs w:val="24"/>
        </w:rPr>
        <w:t>辅修/双专业双学位</w:t>
      </w:r>
      <w:r>
        <w:rPr>
          <w:rFonts w:ascii="宋体" w:eastAsia="宋体" w:hAnsi="宋体" w:cs="宋体" w:hint="eastAsia"/>
          <w:sz w:val="24"/>
          <w:szCs w:val="24"/>
          <w:lang w:val="en-US"/>
        </w:rPr>
        <w:t>报名</w:t>
      </w:r>
      <w:r>
        <w:rPr>
          <w:rFonts w:hint="eastAsia"/>
          <w:lang w:val="en-US"/>
        </w:rPr>
        <w:t>” 选项卡（默认），页面上方显示本次报名的开放时间，下方列出可报名的辅修或者4+1的培养方案。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138680"/>
            <wp:effectExtent l="0" t="0" r="10160" b="139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lastRenderedPageBreak/>
        <w:t>若不在开放时间范围内显示：“</w:t>
      </w:r>
      <w:r>
        <w:rPr>
          <w:rFonts w:ascii="宋体" w:eastAsia="宋体" w:hAnsi="宋体" w:cs="宋体" w:hint="eastAsia"/>
          <w:sz w:val="24"/>
          <w:szCs w:val="24"/>
          <w:lang w:val="en-US"/>
        </w:rPr>
        <w:t>未开放辅修报名</w:t>
      </w:r>
      <w:r>
        <w:rPr>
          <w:rFonts w:hint="eastAsia"/>
          <w:lang w:val="en-US"/>
        </w:rPr>
        <w:t>”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4768215" cy="1329690"/>
            <wp:effectExtent l="0" t="0" r="13335" b="38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若已报名或者存在正在修读的辅修或者4+1方案，在下方的培养方案后不显示“报名”按钮</w:t>
      </w: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4150" cy="2263775"/>
            <wp:effectExtent l="0" t="0" r="12700" b="31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第二步：</w:t>
      </w:r>
      <w:r>
        <w:rPr>
          <w:rFonts w:hint="eastAsia"/>
          <w:lang w:val="en-US"/>
        </w:rPr>
        <w:t>点击要报名的辅修或者4+1方案后的“报名”按钮，填写报名理由（可为空）后提交即可。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444625"/>
            <wp:effectExtent l="0" t="0" r="508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067560"/>
            <wp:effectExtent l="0" t="0" r="10160" b="889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注：报名时系统会计算</w:t>
      </w:r>
      <w:proofErr w:type="gramStart"/>
      <w:r>
        <w:rPr>
          <w:rFonts w:hint="eastAsia"/>
          <w:lang w:val="en-US"/>
        </w:rPr>
        <w:t>本人绩点和</w:t>
      </w:r>
      <w:proofErr w:type="gramEnd"/>
      <w:r>
        <w:rPr>
          <w:rFonts w:hint="eastAsia"/>
          <w:lang w:val="en-US"/>
        </w:rPr>
        <w:t>重修门数，需要等待15秒左右</w:t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不符合报名条件的学生会在</w:t>
      </w:r>
      <w:proofErr w:type="gramStart"/>
      <w:r>
        <w:rPr>
          <w:rFonts w:hint="eastAsia"/>
          <w:lang w:val="en-US"/>
        </w:rPr>
        <w:t>计算绩点和</w:t>
      </w:r>
      <w:proofErr w:type="gramEnd"/>
      <w:r>
        <w:rPr>
          <w:rFonts w:hint="eastAsia"/>
          <w:lang w:val="en-US"/>
        </w:rPr>
        <w:t>重修门数后提示不符合项</w:t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319530"/>
            <wp:effectExtent l="0" t="0" r="7620" b="139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1702435"/>
            <wp:effectExtent l="0" t="0" r="6985" b="1206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b/>
          <w:bCs/>
          <w:lang w:val="en-US"/>
        </w:rPr>
        <w:t>第三步：</w:t>
      </w:r>
      <w:r>
        <w:rPr>
          <w:rFonts w:hint="eastAsia"/>
          <w:lang w:val="en-US"/>
        </w:rPr>
        <w:t>报名成功后，方案列表中的“报名”按钮消失，在页面下方的报名记录中显示已报名的培养方案；</w:t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对于还未审核（审核状态为已提交）的申请，点击“取消报名”按钮，可取消再次报名；</w:t>
      </w:r>
    </w:p>
    <w:p w:rsidR="0039508B" w:rsidRDefault="00153F46">
      <w:pPr>
        <w:ind w:firstLineChars="0" w:firstLine="0"/>
        <w:rPr>
          <w:lang w:val="en-US"/>
        </w:rPr>
      </w:pPr>
      <w:r>
        <w:rPr>
          <w:rFonts w:hint="eastAsia"/>
          <w:lang w:val="en-US"/>
        </w:rPr>
        <w:t>下方的审核状态可查看辅修或者4+1报名是否成功。</w:t>
      </w:r>
    </w:p>
    <w:p w:rsidR="0039508B" w:rsidRDefault="0039508B">
      <w:pPr>
        <w:ind w:firstLineChars="0" w:firstLine="0"/>
        <w:rPr>
          <w:lang w:val="en-US"/>
        </w:rPr>
      </w:pPr>
    </w:p>
    <w:p w:rsidR="0039508B" w:rsidRDefault="00153F46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61610" cy="2411095"/>
            <wp:effectExtent l="0" t="0" r="15240" b="825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B" w:rsidRDefault="0039508B">
      <w:pPr>
        <w:ind w:firstLineChars="0" w:firstLine="0"/>
        <w:rPr>
          <w:lang w:val="en-US"/>
        </w:rPr>
      </w:pPr>
    </w:p>
    <w:p w:rsidR="0039508B" w:rsidRDefault="0039508B">
      <w:pPr>
        <w:ind w:firstLineChars="0" w:firstLine="0"/>
        <w:rPr>
          <w:lang w:val="en-US"/>
        </w:rPr>
      </w:pPr>
    </w:p>
    <w:sectPr w:rsidR="0039508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BC3" w:rsidRDefault="00C87BC3" w:rsidP="00073126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:rsidR="00C87BC3" w:rsidRDefault="00C87BC3" w:rsidP="00073126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b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BC3" w:rsidRDefault="00C87BC3" w:rsidP="00073126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:rsidR="00C87BC3" w:rsidRDefault="00C87BC3" w:rsidP="00073126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26" w:rsidRDefault="00073126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D76CBE3"/>
    <w:multiLevelType w:val="multilevel"/>
    <w:tmpl w:val="ED76CBE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73126"/>
    <w:rsid w:val="000E1CBE"/>
    <w:rsid w:val="00153F46"/>
    <w:rsid w:val="00172A27"/>
    <w:rsid w:val="0039508B"/>
    <w:rsid w:val="003C2DFC"/>
    <w:rsid w:val="003C53C2"/>
    <w:rsid w:val="009A6D80"/>
    <w:rsid w:val="00C87BC3"/>
    <w:rsid w:val="00D02887"/>
    <w:rsid w:val="013C13B4"/>
    <w:rsid w:val="01A47F37"/>
    <w:rsid w:val="02221A6F"/>
    <w:rsid w:val="022E5D33"/>
    <w:rsid w:val="02E77690"/>
    <w:rsid w:val="031F769E"/>
    <w:rsid w:val="03D03BFE"/>
    <w:rsid w:val="03E0136B"/>
    <w:rsid w:val="053D753A"/>
    <w:rsid w:val="05BA1F21"/>
    <w:rsid w:val="06CF066E"/>
    <w:rsid w:val="07EE4378"/>
    <w:rsid w:val="08361CEB"/>
    <w:rsid w:val="083A2DFC"/>
    <w:rsid w:val="083C371F"/>
    <w:rsid w:val="08AA4BEF"/>
    <w:rsid w:val="09633FDA"/>
    <w:rsid w:val="099D5094"/>
    <w:rsid w:val="09A96DBD"/>
    <w:rsid w:val="0A585E8B"/>
    <w:rsid w:val="0B1A392C"/>
    <w:rsid w:val="0B235681"/>
    <w:rsid w:val="0C90600D"/>
    <w:rsid w:val="0D713F89"/>
    <w:rsid w:val="0D8769F2"/>
    <w:rsid w:val="0DAB0F7C"/>
    <w:rsid w:val="0F470FAA"/>
    <w:rsid w:val="10CF2313"/>
    <w:rsid w:val="10D628C3"/>
    <w:rsid w:val="110335F6"/>
    <w:rsid w:val="11360158"/>
    <w:rsid w:val="118A6BED"/>
    <w:rsid w:val="118C5678"/>
    <w:rsid w:val="11B14BC9"/>
    <w:rsid w:val="124D36F4"/>
    <w:rsid w:val="12611019"/>
    <w:rsid w:val="12B96AD4"/>
    <w:rsid w:val="12E4667D"/>
    <w:rsid w:val="142F7AB7"/>
    <w:rsid w:val="166512A3"/>
    <w:rsid w:val="16BB355F"/>
    <w:rsid w:val="189C3AF8"/>
    <w:rsid w:val="18D4294C"/>
    <w:rsid w:val="19AC7DD1"/>
    <w:rsid w:val="1A960B94"/>
    <w:rsid w:val="1B706184"/>
    <w:rsid w:val="1C161640"/>
    <w:rsid w:val="1CC26A44"/>
    <w:rsid w:val="1CF119CB"/>
    <w:rsid w:val="1DC07EE0"/>
    <w:rsid w:val="1EA146E8"/>
    <w:rsid w:val="1F6173EC"/>
    <w:rsid w:val="1FC44DB4"/>
    <w:rsid w:val="20442DE5"/>
    <w:rsid w:val="20B8432D"/>
    <w:rsid w:val="217A374E"/>
    <w:rsid w:val="25C71C26"/>
    <w:rsid w:val="25E62E35"/>
    <w:rsid w:val="26CB55BF"/>
    <w:rsid w:val="27DE69BF"/>
    <w:rsid w:val="298319A8"/>
    <w:rsid w:val="29944F1E"/>
    <w:rsid w:val="29A1711B"/>
    <w:rsid w:val="2B493001"/>
    <w:rsid w:val="2B892C84"/>
    <w:rsid w:val="2BA72404"/>
    <w:rsid w:val="2C651DF8"/>
    <w:rsid w:val="2F776218"/>
    <w:rsid w:val="32E62151"/>
    <w:rsid w:val="34D06163"/>
    <w:rsid w:val="36292B6F"/>
    <w:rsid w:val="36624168"/>
    <w:rsid w:val="38D01B25"/>
    <w:rsid w:val="38E60956"/>
    <w:rsid w:val="39DF452B"/>
    <w:rsid w:val="3A063904"/>
    <w:rsid w:val="3AAF0C56"/>
    <w:rsid w:val="3C441B37"/>
    <w:rsid w:val="3CB37BCD"/>
    <w:rsid w:val="3EB214D0"/>
    <w:rsid w:val="3EF90302"/>
    <w:rsid w:val="40142324"/>
    <w:rsid w:val="422D1F3F"/>
    <w:rsid w:val="426135CE"/>
    <w:rsid w:val="428A0CAC"/>
    <w:rsid w:val="42E968AE"/>
    <w:rsid w:val="43B445D8"/>
    <w:rsid w:val="441E0311"/>
    <w:rsid w:val="443B7BB7"/>
    <w:rsid w:val="49036D9C"/>
    <w:rsid w:val="4A884391"/>
    <w:rsid w:val="4C685435"/>
    <w:rsid w:val="4D622D1D"/>
    <w:rsid w:val="4DED5DF4"/>
    <w:rsid w:val="4EA64865"/>
    <w:rsid w:val="4FA450A8"/>
    <w:rsid w:val="510D0C72"/>
    <w:rsid w:val="52845AB5"/>
    <w:rsid w:val="532A2FDD"/>
    <w:rsid w:val="53932755"/>
    <w:rsid w:val="53A071BF"/>
    <w:rsid w:val="5478442C"/>
    <w:rsid w:val="548263D3"/>
    <w:rsid w:val="55CF2DBC"/>
    <w:rsid w:val="566C7305"/>
    <w:rsid w:val="5A4C5F16"/>
    <w:rsid w:val="5BEA6D40"/>
    <w:rsid w:val="5D2D0E77"/>
    <w:rsid w:val="5D8A027F"/>
    <w:rsid w:val="5FFE6498"/>
    <w:rsid w:val="605F547F"/>
    <w:rsid w:val="60862BD2"/>
    <w:rsid w:val="623A1D0C"/>
    <w:rsid w:val="632A5037"/>
    <w:rsid w:val="63A65F32"/>
    <w:rsid w:val="646C4F4E"/>
    <w:rsid w:val="64A359C0"/>
    <w:rsid w:val="6967333F"/>
    <w:rsid w:val="6A1B67DA"/>
    <w:rsid w:val="6DBC38A0"/>
    <w:rsid w:val="6E2D65F3"/>
    <w:rsid w:val="6FD9115F"/>
    <w:rsid w:val="708C2375"/>
    <w:rsid w:val="714E02BD"/>
    <w:rsid w:val="718258B0"/>
    <w:rsid w:val="719F36E2"/>
    <w:rsid w:val="723F5961"/>
    <w:rsid w:val="73FE6BAF"/>
    <w:rsid w:val="74531C8A"/>
    <w:rsid w:val="74AC1D21"/>
    <w:rsid w:val="7506176E"/>
    <w:rsid w:val="755D7EA2"/>
    <w:rsid w:val="76AC7A2F"/>
    <w:rsid w:val="77E16701"/>
    <w:rsid w:val="78306046"/>
    <w:rsid w:val="784D0CC8"/>
    <w:rsid w:val="79242612"/>
    <w:rsid w:val="79566AB8"/>
    <w:rsid w:val="79567CA5"/>
    <w:rsid w:val="79A11399"/>
    <w:rsid w:val="79F6655C"/>
    <w:rsid w:val="7A090198"/>
    <w:rsid w:val="7AFB6D8A"/>
    <w:rsid w:val="7B794CD8"/>
    <w:rsid w:val="7B9F42F8"/>
    <w:rsid w:val="7CF14F6F"/>
    <w:rsid w:val="7D2B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1CD94A"/>
  <w15:docId w15:val="{865C60C1-2035-45FA-B037-F587385E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before="80" w:after="100" w:line="276" w:lineRule="auto"/>
      <w:ind w:firstLineChars="200" w:firstLine="200"/>
    </w:pPr>
    <w:rPr>
      <w:rFonts w:ascii="Microsoft YaHei UI" w:eastAsia="Microsoft YaHei UI" w:hAnsi="Microsoft YaHei UI" w:cstheme="minorBidi"/>
      <w:color w:val="595959"/>
      <w:sz w:val="22"/>
      <w:szCs w:val="22"/>
      <w:lang w:val="zh-CN"/>
    </w:rPr>
  </w:style>
  <w:style w:type="paragraph" w:styleId="1">
    <w:name w:val="heading 1"/>
    <w:basedOn w:val="a0"/>
    <w:next w:val="a"/>
    <w:uiPriority w:val="9"/>
    <w:qFormat/>
    <w:pPr>
      <w:numPr>
        <w:numId w:val="1"/>
      </w:numPr>
      <w:spacing w:after="0" w:line="240" w:lineRule="auto"/>
      <w:ind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a0"/>
    <w:next w:val="a"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adjustRightInd w:val="0"/>
      <w:snapToGrid w:val="0"/>
      <w:spacing w:line="360" w:lineRule="auto"/>
      <w:ind w:left="0"/>
      <w:outlineLvl w:val="2"/>
    </w:pPr>
    <w:rPr>
      <w:rFonts w:eastAsia="微软雅黑"/>
      <w:b/>
      <w:color w:val="auto"/>
      <w:sz w:val="24"/>
      <w:u w:val="single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 w:firstLine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4">
    <w:name w:val="annotation text"/>
    <w:basedOn w:val="a"/>
    <w:qFormat/>
  </w:style>
  <w:style w:type="paragraph" w:styleId="a5">
    <w:name w:val="Body Text"/>
    <w:basedOn w:val="a"/>
    <w:uiPriority w:val="1"/>
    <w:qFormat/>
    <w:rPr>
      <w:rFonts w:ascii="宋体" w:eastAsia="宋体" w:hAnsi="宋体" w:cs="宋体"/>
      <w:sz w:val="32"/>
      <w:szCs w:val="32"/>
      <w:lang w:bidi="zh-CN"/>
    </w:rPr>
  </w:style>
  <w:style w:type="paragraph" w:styleId="a6">
    <w:name w:val="Balloon Text"/>
    <w:basedOn w:val="a"/>
    <w:link w:val="a7"/>
    <w:qFormat/>
    <w:pPr>
      <w:spacing w:before="0" w:after="0" w:line="240" w:lineRule="auto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qFormat/>
    <w:pPr>
      <w:spacing w:after="120"/>
      <w:ind w:leftChars="200" w:left="200"/>
    </w:pPr>
    <w:rPr>
      <w:sz w:val="16"/>
      <w:szCs w:val="16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Times New Roman" w:hint="eastAsia"/>
      <w:sz w:val="24"/>
      <w:szCs w:val="24"/>
      <w:lang w:val="en-US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customStyle="1" w:styleId="a7">
    <w:name w:val="批注框文本 字符"/>
    <w:basedOn w:val="a1"/>
    <w:link w:val="a6"/>
    <w:qFormat/>
    <w:rPr>
      <w:rFonts w:ascii="Microsoft YaHei UI" w:eastAsia="Microsoft YaHei UI" w:hAnsi="Microsoft YaHei UI" w:cstheme="minorBidi"/>
      <w:color w:val="595959"/>
      <w:sz w:val="18"/>
      <w:szCs w:val="18"/>
      <w:lang w:val="zh-CN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  <w:lang w:bidi="zh-CN"/>
    </w:rPr>
  </w:style>
  <w:style w:type="paragraph" w:customStyle="1" w:styleId="WPSOffice1">
    <w:name w:val="WPSOffice手动目录 1"/>
  </w:style>
  <w:style w:type="paragraph" w:styleId="ab">
    <w:name w:val="footer"/>
    <w:basedOn w:val="a"/>
    <w:link w:val="ac"/>
    <w:rsid w:val="0007312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c">
    <w:name w:val="页脚 字符"/>
    <w:basedOn w:val="a1"/>
    <w:link w:val="ab"/>
    <w:rsid w:val="00073126"/>
    <w:rPr>
      <w:rFonts w:ascii="Microsoft YaHei UI" w:eastAsia="Microsoft YaHei UI" w:hAnsi="Microsoft YaHei UI" w:cstheme="minorBidi"/>
      <w:color w:val="595959"/>
      <w:sz w:val="18"/>
      <w:szCs w:val="18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{197f3174-8e11-4bf9-8428-e04deef1f60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97F3174-8E11-4BF9-8428-E04DEEF1F605}"/>
      </w:docPartPr>
      <w:docPartBody>
        <w:p w:rsidR="004D3A08" w:rsidRDefault="002B434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fa264f8-922b-41f9-9a36-6e82423eec6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A264F8-922B-41F9-9A36-6E82423EEC6D}"/>
      </w:docPartPr>
      <w:docPartBody>
        <w:p w:rsidR="004D3A08" w:rsidRDefault="002B434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95601ae-1bf0-417f-88cb-8db29e68d52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5601AE-1BF0-417F-88CB-8DB29E68D52E}"/>
      </w:docPartPr>
      <w:docPartBody>
        <w:p w:rsidR="004D3A08" w:rsidRDefault="002B434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8401617-e2e3-45d7-b2ec-47a255de59f2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8401617-E2E3-45D7-B2EC-47A255DE59F2}"/>
      </w:docPartPr>
      <w:docPartBody>
        <w:p w:rsidR="004D3A08" w:rsidRDefault="002B4346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3A08"/>
    <w:rsid w:val="00007D40"/>
    <w:rsid w:val="002B4346"/>
    <w:rsid w:val="004D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238</Words>
  <Characters>1361</Characters>
  <Application>Microsoft Office Word</Application>
  <DocSecurity>0</DocSecurity>
  <Lines>11</Lines>
  <Paragraphs>3</Paragraphs>
  <ScaleCrop>false</ScaleCrop>
  <Company>Microsoft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任宏哲</cp:lastModifiedBy>
  <cp:revision>4</cp:revision>
  <cp:lastPrinted>2019-03-18T06:04:00Z</cp:lastPrinted>
  <dcterms:created xsi:type="dcterms:W3CDTF">2014-10-29T12:08:00Z</dcterms:created>
  <dcterms:modified xsi:type="dcterms:W3CDTF">2019-03-18T12:29:00Z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